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EC" w:rsidRPr="003321EC" w:rsidRDefault="003321EC" w:rsidP="003321EC">
      <w:pPr>
        <w:jc w:val="center"/>
        <w:rPr>
          <w:rFonts w:ascii="方正小标宋简体" w:eastAsia="方正小标宋简体" w:hint="eastAsia"/>
          <w:sz w:val="36"/>
          <w:szCs w:val="36"/>
        </w:rPr>
      </w:pPr>
      <w:r w:rsidRPr="003321EC">
        <w:rPr>
          <w:rFonts w:ascii="方正小标宋简体" w:eastAsia="方正小标宋简体" w:hint="eastAsia"/>
          <w:sz w:val="36"/>
          <w:szCs w:val="36"/>
        </w:rPr>
        <w:t>教育部关于印发《本科毕业论文（设计）抽检办法（试行）》的通知</w:t>
      </w:r>
    </w:p>
    <w:p w:rsidR="003321EC" w:rsidRPr="003321EC" w:rsidRDefault="003321EC" w:rsidP="003321EC">
      <w:pPr>
        <w:jc w:val="center"/>
        <w:rPr>
          <w:rFonts w:ascii="楷体_GB2312" w:eastAsia="楷体_GB2312" w:hint="eastAsia"/>
          <w:sz w:val="28"/>
          <w:szCs w:val="28"/>
        </w:rPr>
      </w:pPr>
      <w:r w:rsidRPr="003321EC">
        <w:rPr>
          <w:rFonts w:ascii="楷体_GB2312" w:eastAsia="楷体_GB2312" w:hint="eastAsia"/>
          <w:sz w:val="28"/>
          <w:szCs w:val="28"/>
        </w:rPr>
        <w:t>教督〔2020〕5号</w:t>
      </w:r>
    </w:p>
    <w:p w:rsidR="003321EC" w:rsidRDefault="003321EC" w:rsidP="003321EC"/>
    <w:p w:rsidR="003321EC" w:rsidRDefault="003321EC" w:rsidP="003321EC">
      <w:pPr>
        <w:rPr>
          <w:rFonts w:hint="eastAsia"/>
        </w:rPr>
      </w:pPr>
      <w:r>
        <w:rPr>
          <w:rFonts w:hint="eastAsia"/>
        </w:rPr>
        <w:t>各省、自治区、直辖市教育厅（教委），新疆生产建设兵团教育局，有关部门（单位）教育司（局），部属各高等学校、部省合建各高等学校：</w:t>
      </w:r>
    </w:p>
    <w:p w:rsidR="003321EC" w:rsidRDefault="003321EC" w:rsidP="003321EC"/>
    <w:p w:rsidR="003321EC" w:rsidRDefault="003321EC" w:rsidP="003321EC">
      <w:pPr>
        <w:rPr>
          <w:rFonts w:hint="eastAsia"/>
        </w:rPr>
      </w:pPr>
      <w:r>
        <w:rPr>
          <w:rFonts w:hint="eastAsia"/>
        </w:rPr>
        <w:t xml:space="preserve">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rsidR="003321EC" w:rsidRDefault="003321EC" w:rsidP="003321EC"/>
    <w:p w:rsidR="003321EC" w:rsidRDefault="003321EC" w:rsidP="003321EC">
      <w:pPr>
        <w:ind w:firstLineChars="1750" w:firstLine="5250"/>
        <w:rPr>
          <w:rFonts w:hint="eastAsia"/>
        </w:rPr>
      </w:pPr>
      <w:r>
        <w:rPr>
          <w:rFonts w:hint="eastAsia"/>
        </w:rPr>
        <w:t>教育部</w:t>
      </w:r>
    </w:p>
    <w:p w:rsidR="003321EC" w:rsidRDefault="003321EC" w:rsidP="003321EC">
      <w:pPr>
        <w:ind w:firstLineChars="1550" w:firstLine="4650"/>
        <w:rPr>
          <w:rFonts w:hint="eastAsia"/>
        </w:rPr>
      </w:pPr>
      <w:r>
        <w:rPr>
          <w:rFonts w:hint="eastAsia"/>
        </w:rPr>
        <w:t>2020</w:t>
      </w:r>
      <w:r>
        <w:rPr>
          <w:rFonts w:hint="eastAsia"/>
        </w:rPr>
        <w:t>年</w:t>
      </w:r>
      <w:r>
        <w:rPr>
          <w:rFonts w:hint="eastAsia"/>
        </w:rPr>
        <w:t>12</w:t>
      </w:r>
      <w:r>
        <w:rPr>
          <w:rFonts w:hint="eastAsia"/>
        </w:rPr>
        <w:t>月</w:t>
      </w:r>
      <w:r>
        <w:rPr>
          <w:rFonts w:hint="eastAsia"/>
        </w:rPr>
        <w:t>24</w:t>
      </w:r>
      <w:r>
        <w:rPr>
          <w:rFonts w:hint="eastAsia"/>
        </w:rPr>
        <w:t>日</w:t>
      </w:r>
    </w:p>
    <w:p w:rsidR="003321EC" w:rsidRDefault="003321EC" w:rsidP="003321EC"/>
    <w:p w:rsidR="003321EC" w:rsidRDefault="003321EC">
      <w:pPr>
        <w:widowControl/>
        <w:jc w:val="left"/>
      </w:pPr>
      <w:r>
        <w:br w:type="page"/>
      </w:r>
    </w:p>
    <w:p w:rsidR="003321EC" w:rsidRPr="003321EC" w:rsidRDefault="003321EC" w:rsidP="003321EC">
      <w:pPr>
        <w:jc w:val="center"/>
        <w:rPr>
          <w:rFonts w:ascii="方正小标宋简体" w:eastAsia="方正小标宋简体" w:hint="eastAsia"/>
          <w:sz w:val="36"/>
          <w:szCs w:val="36"/>
        </w:rPr>
      </w:pPr>
      <w:r w:rsidRPr="003321EC">
        <w:rPr>
          <w:rFonts w:ascii="方正小标宋简体" w:eastAsia="方正小标宋简体" w:hint="eastAsia"/>
          <w:sz w:val="36"/>
          <w:szCs w:val="36"/>
        </w:rPr>
        <w:lastRenderedPageBreak/>
        <w:t>本科毕业论文（设计）抽检办法（试行）</w:t>
      </w:r>
    </w:p>
    <w:p w:rsidR="003321EC" w:rsidRPr="003321EC" w:rsidRDefault="003321EC" w:rsidP="003321EC">
      <w:pPr>
        <w:spacing w:beforeLines="100" w:before="312" w:line="300" w:lineRule="auto"/>
        <w:jc w:val="center"/>
        <w:rPr>
          <w:rFonts w:ascii="仿宋_GB2312" w:hint="eastAsia"/>
          <w:b/>
          <w:szCs w:val="30"/>
        </w:rPr>
      </w:pPr>
      <w:r w:rsidRPr="003321EC">
        <w:rPr>
          <w:rFonts w:ascii="仿宋_GB2312" w:hint="eastAsia"/>
          <w:b/>
          <w:szCs w:val="30"/>
        </w:rPr>
        <w:t>第一章 总则</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第二条 教育部负责本科毕业论文抽检的统筹组织和监督，省级教育行政部门负责本地区本科毕业论文抽检的具体实施。其中，中国人民解放军有关部门负责军队系统本科毕业论文抽检的具体实施。</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第三条 本科毕业论文抽检工作应遵循独立、客观、科学、公正原则，任何单位和个人都不得以任何方式干扰抽检工作的正常进行。</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第四条 本科毕业论文抽检每年进行一次，抽检对象为上一学年度授予学士学位的论文，抽检比例原则上应不低于2%。</w:t>
      </w:r>
    </w:p>
    <w:p w:rsidR="003321EC" w:rsidRPr="003321EC" w:rsidRDefault="003321EC" w:rsidP="003321EC">
      <w:pPr>
        <w:spacing w:line="300" w:lineRule="auto"/>
        <w:jc w:val="center"/>
        <w:rPr>
          <w:rFonts w:ascii="仿宋_GB2312" w:hint="eastAsia"/>
          <w:b/>
          <w:szCs w:val="30"/>
        </w:rPr>
      </w:pPr>
      <w:r w:rsidRPr="003321EC">
        <w:rPr>
          <w:rFonts w:ascii="仿宋_GB2312" w:hint="eastAsia"/>
          <w:b/>
          <w:szCs w:val="30"/>
        </w:rPr>
        <w:t>第二章 评议要素和重点</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第五条 省级教育行政部门要参照《普通高等学校本科专业类教学质量国家标准》等要求，结合本地区工作实际，按照《普通高等学校本科专业目录（2020年版）》学科门类分别制定本科毕业论文抽检评议要素。</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第六条 本科毕业论文抽检应重点对选题意义、写作安排、</w:t>
      </w:r>
      <w:r w:rsidRPr="003321EC">
        <w:rPr>
          <w:rFonts w:ascii="仿宋_GB2312" w:hint="eastAsia"/>
          <w:szCs w:val="30"/>
        </w:rPr>
        <w:lastRenderedPageBreak/>
        <w:t>逻辑构建、专业能力以及学术规范等进行考察。</w:t>
      </w:r>
    </w:p>
    <w:p w:rsidR="003321EC" w:rsidRPr="003321EC" w:rsidRDefault="003321EC" w:rsidP="003321EC">
      <w:pPr>
        <w:spacing w:line="300" w:lineRule="auto"/>
        <w:jc w:val="center"/>
        <w:rPr>
          <w:rFonts w:ascii="仿宋_GB2312" w:hint="eastAsia"/>
          <w:b/>
          <w:szCs w:val="30"/>
        </w:rPr>
      </w:pPr>
      <w:r w:rsidRPr="003321EC">
        <w:rPr>
          <w:rFonts w:ascii="仿宋_GB2312" w:hint="eastAsia"/>
          <w:b/>
          <w:szCs w:val="30"/>
        </w:rPr>
        <w:t>第三章 工作程序</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第八条 省级教育行政部门基于抽检信息平台和本地区学士学位授予信息，采取随机抽取的方式确定抽检名单。抽检论文要覆盖本地区所有本科层次普通高校及其全部本科专业。</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第九条 省级教育行政部门利用抽检信息平台对抽检论文进行学术不端行为检测，检测结果供专家评审参考。</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rsidR="003321EC" w:rsidRPr="003321EC" w:rsidRDefault="003321EC" w:rsidP="003321EC">
      <w:pPr>
        <w:spacing w:line="300" w:lineRule="auto"/>
        <w:jc w:val="center"/>
        <w:rPr>
          <w:rFonts w:ascii="仿宋_GB2312" w:hint="eastAsia"/>
          <w:b/>
          <w:szCs w:val="30"/>
        </w:rPr>
      </w:pPr>
      <w:r w:rsidRPr="003321EC">
        <w:rPr>
          <w:rFonts w:ascii="仿宋_GB2312" w:hint="eastAsia"/>
          <w:b/>
          <w:szCs w:val="30"/>
        </w:rPr>
        <w:t>第四章 结果反馈与使用</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第十一条 本科毕业论文抽检结果由省级教育行政部门向有关高校反馈、抄送省级学位委员会，同时报教育部备案。</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第十二条 本科毕业论文抽检结果的使用。</w:t>
      </w:r>
    </w:p>
    <w:p w:rsidR="003321EC" w:rsidRPr="003321EC" w:rsidRDefault="003321EC" w:rsidP="003321EC">
      <w:pPr>
        <w:spacing w:line="300" w:lineRule="auto"/>
        <w:rPr>
          <w:rFonts w:ascii="仿宋_GB2312" w:hint="eastAsia"/>
          <w:szCs w:val="30"/>
        </w:rPr>
      </w:pPr>
      <w:r w:rsidRPr="003321EC">
        <w:rPr>
          <w:rFonts w:ascii="仿宋_GB2312" w:hint="eastAsia"/>
          <w:szCs w:val="30"/>
        </w:rPr>
        <w:lastRenderedPageBreak/>
        <w:t xml:space="preserve">　　（一）抽检结果以适当方式向社会公开。</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（三）对连续3年抽检存在问题较多的本科专业，经整改仍无法达到要求者，视为不能保证培养质量，省级教育行政部门应依据有关规定责令其暂停招生，或由省级学位委员会撤销其学士学位授权点。</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（四）对涉嫌存在抄袭、剽窃、伪造、篡改、买卖、代写等学术不端行为的毕业论文，高校应按照相关程序进行调查核实，对查实的应依法撤销已授予学位，并注销学位证书。</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（五）抽检结果将作为本科教育教学评估、一流本科专业建设、本科专业认证以及专业建设经费投入等教育资源配置的重要参考依据。</w:t>
      </w:r>
    </w:p>
    <w:p w:rsidR="003321EC" w:rsidRPr="003321EC" w:rsidRDefault="003321EC" w:rsidP="003321EC">
      <w:pPr>
        <w:spacing w:line="300" w:lineRule="auto"/>
        <w:jc w:val="center"/>
        <w:rPr>
          <w:rFonts w:ascii="仿宋_GB2312" w:hint="eastAsia"/>
          <w:b/>
          <w:szCs w:val="30"/>
        </w:rPr>
      </w:pPr>
      <w:r w:rsidRPr="003321EC">
        <w:rPr>
          <w:rFonts w:ascii="仿宋_GB2312" w:hint="eastAsia"/>
          <w:b/>
          <w:szCs w:val="30"/>
        </w:rPr>
        <w:t>第五章 监督与保障</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第十三条 教育部定期对各省级教育行政部门本科毕业论文抽检工作情况开展监督检查，并将工作情况纳入省级人民政府履行教育职责评价的范畴。</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第十四条 省级教育行政部门应保障本科毕业论文抽检工作经费，列入年度工作预算，确保抽检工作顺利开展。</w:t>
      </w:r>
    </w:p>
    <w:p w:rsidR="003321EC" w:rsidRPr="003321EC" w:rsidRDefault="003321EC" w:rsidP="003321EC">
      <w:pPr>
        <w:spacing w:line="300" w:lineRule="auto"/>
        <w:rPr>
          <w:rFonts w:ascii="仿宋_GB2312" w:hint="eastAsia"/>
          <w:szCs w:val="30"/>
        </w:rPr>
      </w:pPr>
      <w:r w:rsidRPr="003321EC">
        <w:rPr>
          <w:rFonts w:ascii="仿宋_GB2312" w:hint="eastAsia"/>
          <w:szCs w:val="30"/>
        </w:rPr>
        <w:lastRenderedPageBreak/>
        <w:t xml:space="preserve">　　第十五条 省级教育行政部门应建立本科毕业论文抽检申诉机制，规范申诉处理程序，保障有关高校和学生的合法权益。</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第十六条 各有关高校应按照所在地省级教育行政部门的有关要求，积极配合本科毕业论文抽检工作，准确完整地提供本科毕业论文、学位授予信息等材料。</w:t>
      </w:r>
    </w:p>
    <w:p w:rsidR="003321EC" w:rsidRPr="003321EC" w:rsidRDefault="003321EC" w:rsidP="003321EC">
      <w:pPr>
        <w:spacing w:line="300" w:lineRule="auto"/>
        <w:jc w:val="center"/>
        <w:rPr>
          <w:rFonts w:ascii="仿宋_GB2312" w:hint="eastAsia"/>
          <w:b/>
          <w:szCs w:val="30"/>
        </w:rPr>
      </w:pPr>
      <w:r w:rsidRPr="003321EC">
        <w:rPr>
          <w:rFonts w:ascii="仿宋_GB2312" w:hint="eastAsia"/>
          <w:b/>
          <w:szCs w:val="30"/>
        </w:rPr>
        <w:t>第六章 附则</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第十七条 省级教育行政部门要参照本办法，结合地方实际，制定本省（区、市）本科毕业论文抽检工作实施细则，并报教育部备案。</w:t>
      </w:r>
    </w:p>
    <w:p w:rsidR="003321EC" w:rsidRPr="003321EC" w:rsidRDefault="003321EC" w:rsidP="003321EC">
      <w:pPr>
        <w:spacing w:line="300" w:lineRule="auto"/>
        <w:rPr>
          <w:rFonts w:ascii="仿宋_GB2312" w:hint="eastAsia"/>
          <w:szCs w:val="30"/>
        </w:rPr>
      </w:pPr>
      <w:r w:rsidRPr="003321EC">
        <w:rPr>
          <w:rFonts w:ascii="仿宋_GB2312" w:hint="eastAsia"/>
          <w:szCs w:val="30"/>
        </w:rPr>
        <w:t xml:space="preserve">　　第十八条 本办法由教育部负责解释。</w:t>
      </w:r>
    </w:p>
    <w:p w:rsidR="003301F8" w:rsidRDefault="003321EC" w:rsidP="003321EC">
      <w:pPr>
        <w:spacing w:line="300" w:lineRule="auto"/>
        <w:ind w:firstLine="600"/>
        <w:rPr>
          <w:rFonts w:ascii="仿宋_GB2312"/>
          <w:szCs w:val="30"/>
        </w:rPr>
      </w:pPr>
      <w:r w:rsidRPr="003321EC">
        <w:rPr>
          <w:rFonts w:ascii="仿宋_GB2312" w:hint="eastAsia"/>
          <w:szCs w:val="30"/>
        </w:rPr>
        <w:t>第十九条 本办法自2021年1月1日起施行。</w:t>
      </w:r>
    </w:p>
    <w:p w:rsidR="003321EC" w:rsidRDefault="003321EC" w:rsidP="003321EC">
      <w:pPr>
        <w:spacing w:line="300" w:lineRule="auto"/>
        <w:rPr>
          <w:rFonts w:ascii="仿宋_GB2312"/>
          <w:szCs w:val="30"/>
        </w:rPr>
      </w:pPr>
    </w:p>
    <w:p w:rsidR="003321EC" w:rsidRDefault="003321EC" w:rsidP="003321EC">
      <w:pPr>
        <w:spacing w:line="300" w:lineRule="auto"/>
        <w:rPr>
          <w:rFonts w:ascii="仿宋_GB2312"/>
          <w:szCs w:val="30"/>
        </w:rPr>
      </w:pPr>
    </w:p>
    <w:p w:rsidR="003321EC" w:rsidRPr="003321EC" w:rsidRDefault="003321EC" w:rsidP="003321EC">
      <w:pPr>
        <w:spacing w:line="300" w:lineRule="auto"/>
        <w:jc w:val="left"/>
        <w:rPr>
          <w:rFonts w:ascii="仿宋_GB2312" w:hint="eastAsia"/>
          <w:sz w:val="24"/>
          <w:szCs w:val="24"/>
        </w:rPr>
      </w:pPr>
      <w:r>
        <w:rPr>
          <w:rFonts w:ascii="仿宋_GB2312" w:hint="eastAsia"/>
          <w:sz w:val="24"/>
          <w:szCs w:val="24"/>
        </w:rPr>
        <w:t>网</w:t>
      </w:r>
      <w:r w:rsidRPr="003321EC">
        <w:rPr>
          <w:rFonts w:ascii="仿宋_GB2312" w:hint="eastAsia"/>
          <w:sz w:val="24"/>
          <w:szCs w:val="24"/>
        </w:rPr>
        <w:t>址</w:t>
      </w:r>
      <w:r w:rsidRPr="003321EC">
        <w:rPr>
          <w:rFonts w:ascii="仿宋_GB2312"/>
          <w:sz w:val="24"/>
          <w:szCs w:val="24"/>
        </w:rPr>
        <w:t>：</w:t>
      </w:r>
      <w:hyperlink r:id="rId4" w:history="1">
        <w:r w:rsidRPr="003321EC">
          <w:rPr>
            <w:color w:val="0000FF"/>
            <w:sz w:val="24"/>
            <w:szCs w:val="24"/>
            <w:u w:val="single"/>
          </w:rPr>
          <w:t>htt</w:t>
        </w:r>
        <w:bookmarkStart w:id="0" w:name="_GoBack"/>
        <w:bookmarkEnd w:id="0"/>
        <w:r w:rsidRPr="003321EC">
          <w:rPr>
            <w:color w:val="0000FF"/>
            <w:sz w:val="24"/>
            <w:szCs w:val="24"/>
            <w:u w:val="single"/>
          </w:rPr>
          <w:t>p://www.moe.gov.cn/srcsite/A11/s7057/202101/t20210107_509019.html</w:t>
        </w:r>
      </w:hyperlink>
    </w:p>
    <w:sectPr w:rsidR="003321EC" w:rsidRPr="00332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EC"/>
    <w:rsid w:val="003301F8"/>
    <w:rsid w:val="003321EC"/>
    <w:rsid w:val="00FA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9EF1"/>
  <w15:chartTrackingRefBased/>
  <w15:docId w15:val="{7D0491AB-0E63-4782-855D-EB28BE2A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30"/>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autoRedefine/>
    <w:uiPriority w:val="9"/>
    <w:qFormat/>
    <w:rsid w:val="00FA5044"/>
    <w:pPr>
      <w:keepNext/>
      <w:keepLines/>
      <w:tabs>
        <w:tab w:val="right" w:pos="8190"/>
      </w:tabs>
      <w:spacing w:before="240" w:after="120" w:line="300" w:lineRule="auto"/>
      <w:ind w:leftChars="200" w:left="200"/>
      <w:outlineLvl w:val="1"/>
    </w:pPr>
    <w:rPr>
      <w:rFonts w:ascii="Cambria" w:eastAsia="黑体" w:hAnsi="Cambria"/>
      <w:bCs/>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qFormat/>
    <w:rsid w:val="00FA5044"/>
    <w:rPr>
      <w:rFonts w:ascii="Cambria" w:eastAsia="黑体" w:hAnsi="Cambria"/>
      <w:bCs/>
      <w:sz w:val="24"/>
      <w:szCs w:val="32"/>
      <w:lang w:val="x-none" w:eastAsia="x-none"/>
    </w:rPr>
  </w:style>
  <w:style w:type="character" w:customStyle="1" w:styleId="2Char">
    <w:name w:val="标题 2 Char"/>
    <w:uiPriority w:val="9"/>
    <w:qFormat/>
    <w:rsid w:val="00FA5044"/>
    <w:rPr>
      <w:rFonts w:ascii="Cambria" w:hAnsi="Cambria"/>
      <w:b/>
      <w:bCs/>
      <w:sz w:val="24"/>
      <w:szCs w:val="32"/>
      <w:lang w:val="x-none" w:eastAsia="x-none"/>
    </w:rPr>
  </w:style>
  <w:style w:type="paragraph" w:styleId="1">
    <w:name w:val="toc 1"/>
    <w:basedOn w:val="a"/>
    <w:next w:val="a"/>
    <w:autoRedefine/>
    <w:uiPriority w:val="39"/>
    <w:unhideWhenUsed/>
    <w:qFormat/>
    <w:rsid w:val="00FA5044"/>
    <w:pPr>
      <w:tabs>
        <w:tab w:val="right" w:leader="hyphen" w:pos="8190"/>
        <w:tab w:val="right" w:leader="dot" w:pos="8400"/>
      </w:tabs>
      <w:topLinePunct/>
      <w:spacing w:beforeLines="50" w:before="50"/>
    </w:pPr>
    <w:rPr>
      <w:rFonts w:eastAsia="黑体" w:cs="Times New Roman"/>
      <w:b/>
      <w:kern w:val="21"/>
      <w:sz w:val="24"/>
      <w:szCs w:val="24"/>
    </w:rPr>
  </w:style>
  <w:style w:type="paragraph" w:styleId="21">
    <w:name w:val="toc 2"/>
    <w:basedOn w:val="a"/>
    <w:next w:val="a"/>
    <w:autoRedefine/>
    <w:uiPriority w:val="39"/>
    <w:unhideWhenUsed/>
    <w:qFormat/>
    <w:rsid w:val="00FA5044"/>
    <w:pPr>
      <w:tabs>
        <w:tab w:val="right" w:leader="hyphen" w:pos="8190"/>
        <w:tab w:val="right" w:leader="dot" w:pos="8306"/>
      </w:tabs>
      <w:spacing w:line="300" w:lineRule="exact"/>
      <w:ind w:leftChars="200" w:left="420"/>
    </w:pPr>
    <w:rPr>
      <w:rFonts w:ascii="黑体" w:eastAsia="楷体_GB2312" w:hAnsi="黑体" w:cs="Times New Roman"/>
      <w:noProof/>
      <w:color w:val="ED7D31" w:themeColor="accent2"/>
      <w:sz w:val="21"/>
      <w:lang w:val="zh-CN"/>
    </w:rPr>
  </w:style>
  <w:style w:type="character" w:styleId="a3">
    <w:name w:val="Hyperlink"/>
    <w:uiPriority w:val="99"/>
    <w:unhideWhenUsed/>
    <w:qFormat/>
    <w:rsid w:val="00FA5044"/>
    <w:rPr>
      <w:rFonts w:eastAsia="宋体"/>
      <w:color w:val="2D4E8B"/>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11/s7057/202101/t20210107_5090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325</Words>
  <Characters>1856</Characters>
  <Application>Microsoft Office Word</Application>
  <DocSecurity>0</DocSecurity>
  <Lines>15</Lines>
  <Paragraphs>4</Paragraphs>
  <ScaleCrop>false</ScaleCrop>
  <Company>wangyi</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wangyi</dc:creator>
  <cp:keywords/>
  <dc:description/>
  <cp:lastModifiedBy>wangyi</cp:lastModifiedBy>
  <cp:revision>1</cp:revision>
  <dcterms:created xsi:type="dcterms:W3CDTF">2021-01-07T05:10:00Z</dcterms:created>
  <dcterms:modified xsi:type="dcterms:W3CDTF">2021-01-07T05:15:00Z</dcterms:modified>
</cp:coreProperties>
</file>